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以太算力集团（Aether Compute Group）全场景应用总结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依托「国内 470MW 中心化智算 IDC + Aether Edge 全球酒店分布式边缘算力 + 海外合规算力节点」三层算力底座，覆盖企业研发、产业生产、政企数字化、酒店增值、跨境业务五大类使用场景，区分</w:t>
      </w:r>
      <w:r>
        <w:rPr>
          <w:rFonts w:eastAsia="等线" w:ascii="Arial" w:cs="Arial" w:hAnsi="Arial"/>
          <w:b w:val="true"/>
          <w:sz w:val="22"/>
        </w:rPr>
        <w:t>长期稳定高算力场景（中心 IDC）</w:t>
      </w:r>
      <w:r>
        <w:rPr>
          <w:rFonts w:eastAsia="等线" w:ascii="Arial" w:cs="Arial" w:hAnsi="Arial"/>
          <w:sz w:val="22"/>
        </w:rPr>
        <w:t>、</w:t>
      </w:r>
      <w:r>
        <w:rPr>
          <w:rFonts w:eastAsia="等线" w:ascii="Arial" w:cs="Arial" w:hAnsi="Arial"/>
          <w:b w:val="true"/>
          <w:sz w:val="22"/>
        </w:rPr>
        <w:t>短时弹性低延迟场景（酒店边缘节点）</w:t>
      </w:r>
      <w:r>
        <w:rPr>
          <w:rFonts w:eastAsia="等线" w:ascii="Arial" w:cs="Arial" w:hAnsi="Arial"/>
          <w:sz w:val="22"/>
        </w:rPr>
        <w:t>、\</w:t>
      </w:r>
      <w:r>
        <w:rPr>
          <w:rFonts w:eastAsia="等线" w:ascii="Arial" w:cs="Arial" w:hAnsi="Arial"/>
          <w:i w:val="true"/>
          <w:sz w:val="22"/>
        </w:rPr>
        <w:t>\</w:t>
      </w:r>
      <w:r>
        <w:rPr>
          <w:rFonts w:eastAsia="等线" w:ascii="Arial" w:cs="Arial" w:hAnsi="Arial"/>
          <w:sz w:val="22"/>
        </w:rPr>
        <w:t xml:space="preserve"> 跨国跨境合规场景（海外算力基地）\</w:t>
      </w:r>
      <w:r>
        <w:rPr>
          <w:rFonts w:eastAsia="等线" w:ascii="Arial" w:cs="Arial" w:hAnsi="Arial"/>
          <w:i w:val="true"/>
          <w:sz w:val="22"/>
        </w:rPr>
        <w:t>\</w:t>
      </w:r>
      <w:r>
        <w:rPr>
          <w:rFonts w:eastAsia="等线" w:ascii="Arial" w:cs="Arial" w:hAnsi="Arial"/>
          <w:sz w:val="22"/>
        </w:rPr>
        <w:t xml:space="preserve"> 三大供给渠道。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一、大型 AI 企业｜中心化智算 IDC 核心场景（北京 + 广东大型液冷园区）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面向头部云厂商、通用大模型公司、垂直 AI 企业，提供万卡级长期高密算力集群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大模型全生命周期训练与推理</w:t>
      </w:r>
    </w:p>
    <w:p>
      <w:pPr>
        <w:numPr>
          <w:numId w:val="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北京低延迟集群：通用大模型、行业模型在线实时推理、智能客服、多模态数字人直播；</w:t>
      </w:r>
    </w:p>
    <w:p>
      <w:pPr>
        <w:numPr>
          <w:numId w:val="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广东低成本绿电集群：超大模型预训练、微调、海量数据集离线清洗。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AI 行业垂直研发场景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生物医药蛋白分子模拟、基因测序算力；工业 AI 质检模型训练；多模态 AIGC 素材批量生成。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云厂商算力外包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头部云厂商弹性算力储备、区域算力节点托管，3–5 年长租整机柜，分担自建机房重资产压力。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二、自动驾驶与汽车产业｜中心 IDC 为主、边缘算力补充</w:t>
      </w:r>
      <w:bookmarkEnd w:id="1"/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自动驾驶仿真大规模离线训练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百万级虚拟路况场景并行仿真，消耗海量离线算力，部署广东高密算力集群；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车路协同实时推理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城市道路、园区自动驾驶实时识别任务，就近调度城市酒店边缘节点降低时延；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车企数据合规存储与标注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整车厂海量行车数据脱敏、标注、模型迭代算力需求。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三、影视、游戏、3D 设计渲染｜混合使用中心 IDC + 酒店边缘算力</w:t>
      </w:r>
      <w:bookmarkEnd w:id="2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长篇影视、动画、特效批量离线渲染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大型影视工作室、动画公司长期包租广东 IDC 算力，夜间批量渲染影片素材；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短视频、直播、小型 3D 素材短时渲染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个人创作者、小型工作室租用全球酒店夜间分时 GPU，低成本完成剪辑、建模、AIGC 出图；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云电竞、虚拟主机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电竞酒店客房 GPU 对外分时开放，面向 C 端玩家提供云端高配游戏主机服务，提升酒店客房溢价。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四、政企、智慧城市、本地数字化｜边缘算力为主，中心 IDC 做后台支撑</w:t>
      </w:r>
      <w:bookmarkEnd w:id="3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城市实时视觉推理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交通监控、园区安防、文旅景区实时图像识别，调度同城酒店边缘节点，数据本地存储不上传跨城机房，满足数据合规；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政务数字化、城市大脑后台算力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政务统计、人口数据分析、城市模拟推演，依托北京低延迟智算集群；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园区、工厂本地轻量化 AI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中小型制造企业产线质检、仓储识别，就近调用城市边缘酒店算力，无需自建机房。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五、跨境出海企业、跨国集团｜海外合规算力节点 + 跨境统一调度</w:t>
      </w:r>
      <w:bookmarkEnd w:id="4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海外 AI 企业本地化算力需求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欧美、东南亚 AI 初创公司，使用当地合规 IDC，满足 GDPR、本地数据存储法规，数据不跨境出境；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跨国车企、跨境影视集团全球统一算力调度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一套平台联动国内核心算力、欧洲 / 东南亚海外节点，按区域合规要求分流计算任务；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出海电商、跨境数字营销</w:t>
      </w:r>
      <w:r>
        <w:rPr>
          <w:rFonts w:eastAsia="等线" w:ascii="Arial" w:cs="Arial" w:hAnsi="Arial"/>
          <w:sz w:val="22"/>
        </w:rPr>
        <w:br/>
      </w:r>
      <w:r>
        <w:rPr>
          <w:rFonts w:eastAsia="等线" w:ascii="Arial" w:cs="Arial" w:hAnsi="Arial"/>
          <w:sz w:val="22"/>
        </w:rPr>
        <w:t>海外用户推荐模型、跨境直播数字人推理，部署海外本地算力节点，降低访问延迟。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六、酒店行业专属场景（Aether Edge 分布式算力供给侧场景）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面向全球连锁酒店、电竞酒店，属于算力供给合作场景：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酒店闲置机房、客房 GPU 夜间闲置资产变现，获取稳定分润收入；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打造电竞主题客房、云电脑增值服务，提升客房售价与入住率；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酒店配套绿色低碳算力资质，满足政企差旅、ESG 合作酒店评选标准。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七、科研、高校、创业孵化器｜酒店边缘分时算力（低成本普惠场景）</w:t>
      </w:r>
      <w:bookmarkEnd w:id="6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高校实验室、AI 创业团队短期模型调试、小批量绘图、小型数据集训练；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孵化器批量采购低价夜间分时算力，降低初创团队研发成本；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学术论文仿真、小规模数值计算，无需采购昂贵本地 GPU 设备。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八、技术输出配套场景（对外服务）</w:t>
      </w:r>
      <w:bookmarkEnd w:id="7"/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为第三方数据中心、海外 IDC 提供液冷节能改造、低 PUE 机房整体方案；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输出全域算力调度平台系统，授权给园区、海外算力运营商使用；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绿色算力、碳资产打包服务，为上市公司、跨国企业提供 ESG 合规算力凭证。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九、资本与产业配套场景</w:t>
      </w:r>
      <w:bookmarkEnd w:id="8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面向产业基金、基建投资人提供标准化算力资产投资标的；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成熟算力园区、规模化边缘算力节点打包作为基础设施 REITs 底层资产；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地方政府新基建、数字经济项目落地配套算力底座，申报产业扶持政策。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场景分层总结</w:t>
      </w:r>
      <w:bookmarkEnd w:id="9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长周期、高算力、高稳定需求</w:t>
      </w:r>
      <w:r>
        <w:rPr>
          <w:rFonts w:eastAsia="等线" w:ascii="Arial" w:cs="Arial" w:hAnsi="Arial"/>
          <w:sz w:val="22"/>
        </w:rPr>
        <w:t xml:space="preserve"> → 北京 / 广东中心化 T4 液冷 IDC</w:t>
        <w:br/>
      </w:r>
      <w:r>
        <w:rPr>
          <w:rFonts w:eastAsia="等线" w:ascii="Arial" w:cs="Arial" w:hAnsi="Arial"/>
          <w:sz w:val="22"/>
        </w:rPr>
        <w:t>适用：大模型训练、整车仿真、云厂商长期算力托管、政企核心数字平台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短时、弹性、低预算、本地低延迟需求</w:t>
      </w:r>
      <w:r>
        <w:rPr>
          <w:rFonts w:eastAsia="等线" w:ascii="Arial" w:cs="Arial" w:hAnsi="Arial"/>
          <w:sz w:val="22"/>
        </w:rPr>
        <w:t xml:space="preserve"> → 全球酒店分布式边缘算力</w:t>
        <w:br/>
      </w:r>
      <w:r>
        <w:rPr>
          <w:rFonts w:eastAsia="等线" w:ascii="Arial" w:cs="Arial" w:hAnsi="Arial"/>
          <w:sz w:val="22"/>
        </w:rPr>
        <w:t>适用：小微 AI、短视频渲染、本地安防推理、云电竞、高校科研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跨国经营、数据本地合规需求</w:t>
      </w:r>
      <w:r>
        <w:rPr>
          <w:rFonts w:eastAsia="等线" w:ascii="Arial" w:cs="Arial" w:hAnsi="Arial"/>
          <w:sz w:val="22"/>
        </w:rPr>
        <w:t xml:space="preserve"> → 东南亚 / 欧洲海外合规算力节点</w:t>
        <w:br/>
      </w:r>
      <w:r>
        <w:rPr>
          <w:rFonts w:eastAsia="等线" w:ascii="Arial" w:cs="Arial" w:hAnsi="Arial"/>
          <w:sz w:val="22"/>
        </w:rPr>
        <w:t>适用：海外 AI 公司、跨国车企、跨境影视、出海数字企业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供给侧增值场景</w:t>
      </w:r>
      <w:r>
        <w:rPr>
          <w:rFonts w:eastAsia="等线" w:ascii="Arial" w:cs="Arial" w:hAnsi="Arial"/>
          <w:sz w:val="22"/>
        </w:rPr>
        <w:t xml:space="preserve"> → 酒店算力加盟、液冷技术授权、碳资产服务、算力资产证券化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525547">
    <w:lvl>
      <w:start w:val="1"/>
      <w:numFmt w:val="decimal"/>
      <w:suff w:val="tab"/>
      <w:lvlText w:val="%1."/>
      <w:rPr>
        <w:color w:val="3370ff"/>
      </w:rPr>
    </w:lvl>
  </w:abstractNum>
  <w:abstractNum w:abstractNumId="1525548">
    <w:lvl>
      <w:numFmt w:val="bullet"/>
      <w:suff w:val="tab"/>
      <w:lvlText w:val="￮"/>
      <w:rPr>
        <w:color w:val="3370ff"/>
      </w:rPr>
    </w:lvl>
  </w:abstractNum>
  <w:abstractNum w:abstractNumId="1525549">
    <w:lvl>
      <w:numFmt w:val="bullet"/>
      <w:suff w:val="tab"/>
      <w:lvlText w:val="￮"/>
      <w:rPr>
        <w:color w:val="3370ff"/>
      </w:rPr>
    </w:lvl>
  </w:abstractNum>
  <w:abstractNum w:abstractNumId="1525550">
    <w:lvl>
      <w:start w:val="2"/>
      <w:numFmt w:val="decimal"/>
      <w:suff w:val="tab"/>
      <w:lvlText w:val="%1."/>
      <w:rPr>
        <w:color w:val="3370ff"/>
      </w:rPr>
    </w:lvl>
  </w:abstractNum>
  <w:abstractNum w:abstractNumId="1525551">
    <w:lvl>
      <w:start w:val="3"/>
      <w:numFmt w:val="decimal"/>
      <w:suff w:val="tab"/>
      <w:lvlText w:val="%1."/>
      <w:rPr>
        <w:color w:val="3370ff"/>
      </w:rPr>
    </w:lvl>
  </w:abstractNum>
  <w:abstractNum w:abstractNumId="1525552">
    <w:lvl>
      <w:start w:val="1"/>
      <w:numFmt w:val="decimal"/>
      <w:suff w:val="tab"/>
      <w:lvlText w:val="%1."/>
      <w:rPr>
        <w:color w:val="3370ff"/>
      </w:rPr>
    </w:lvl>
  </w:abstractNum>
  <w:abstractNum w:abstractNumId="1525553">
    <w:lvl>
      <w:start w:val="2"/>
      <w:numFmt w:val="decimal"/>
      <w:suff w:val="tab"/>
      <w:lvlText w:val="%1."/>
      <w:rPr>
        <w:color w:val="3370ff"/>
      </w:rPr>
    </w:lvl>
  </w:abstractNum>
  <w:abstractNum w:abstractNumId="1525554">
    <w:lvl>
      <w:start w:val="3"/>
      <w:numFmt w:val="decimal"/>
      <w:suff w:val="tab"/>
      <w:lvlText w:val="%1."/>
      <w:rPr>
        <w:color w:val="3370ff"/>
      </w:rPr>
    </w:lvl>
  </w:abstractNum>
  <w:abstractNum w:abstractNumId="1525555">
    <w:lvl>
      <w:start w:val="1"/>
      <w:numFmt w:val="decimal"/>
      <w:suff w:val="tab"/>
      <w:lvlText w:val="%1."/>
      <w:rPr>
        <w:color w:val="3370ff"/>
      </w:rPr>
    </w:lvl>
  </w:abstractNum>
  <w:abstractNum w:abstractNumId="1525556">
    <w:lvl>
      <w:start w:val="2"/>
      <w:numFmt w:val="decimal"/>
      <w:suff w:val="tab"/>
      <w:lvlText w:val="%1."/>
      <w:rPr>
        <w:color w:val="3370ff"/>
      </w:rPr>
    </w:lvl>
  </w:abstractNum>
  <w:abstractNum w:abstractNumId="1525557">
    <w:lvl>
      <w:start w:val="3"/>
      <w:numFmt w:val="decimal"/>
      <w:suff w:val="tab"/>
      <w:lvlText w:val="%1."/>
      <w:rPr>
        <w:color w:val="3370ff"/>
      </w:rPr>
    </w:lvl>
  </w:abstractNum>
  <w:abstractNum w:abstractNumId="1525558">
    <w:lvl>
      <w:start w:val="1"/>
      <w:numFmt w:val="decimal"/>
      <w:suff w:val="tab"/>
      <w:lvlText w:val="%1."/>
      <w:rPr>
        <w:color w:val="3370ff"/>
      </w:rPr>
    </w:lvl>
  </w:abstractNum>
  <w:abstractNum w:abstractNumId="1525559">
    <w:lvl>
      <w:start w:val="2"/>
      <w:numFmt w:val="decimal"/>
      <w:suff w:val="tab"/>
      <w:lvlText w:val="%1."/>
      <w:rPr>
        <w:color w:val="3370ff"/>
      </w:rPr>
    </w:lvl>
  </w:abstractNum>
  <w:abstractNum w:abstractNumId="1525560">
    <w:lvl>
      <w:start w:val="3"/>
      <w:numFmt w:val="decimal"/>
      <w:suff w:val="tab"/>
      <w:lvlText w:val="%1."/>
      <w:rPr>
        <w:color w:val="3370ff"/>
      </w:rPr>
    </w:lvl>
  </w:abstractNum>
  <w:abstractNum w:abstractNumId="1525561">
    <w:lvl>
      <w:start w:val="1"/>
      <w:numFmt w:val="decimal"/>
      <w:suff w:val="tab"/>
      <w:lvlText w:val="%1."/>
      <w:rPr>
        <w:color w:val="3370ff"/>
      </w:rPr>
    </w:lvl>
  </w:abstractNum>
  <w:abstractNum w:abstractNumId="1525562">
    <w:lvl>
      <w:start w:val="2"/>
      <w:numFmt w:val="decimal"/>
      <w:suff w:val="tab"/>
      <w:lvlText w:val="%1."/>
      <w:rPr>
        <w:color w:val="3370ff"/>
      </w:rPr>
    </w:lvl>
  </w:abstractNum>
  <w:abstractNum w:abstractNumId="1525563">
    <w:lvl>
      <w:start w:val="3"/>
      <w:numFmt w:val="decimal"/>
      <w:suff w:val="tab"/>
      <w:lvlText w:val="%1."/>
      <w:rPr>
        <w:color w:val="3370ff"/>
      </w:rPr>
    </w:lvl>
  </w:abstractNum>
  <w:abstractNum w:abstractNumId="1525564">
    <w:lvl>
      <w:start w:val="1"/>
      <w:numFmt w:val="decimal"/>
      <w:suff w:val="tab"/>
      <w:lvlText w:val="%1."/>
      <w:rPr>
        <w:color w:val="3370ff"/>
      </w:rPr>
    </w:lvl>
  </w:abstractNum>
  <w:abstractNum w:abstractNumId="1525565">
    <w:lvl>
      <w:start w:val="2"/>
      <w:numFmt w:val="decimal"/>
      <w:suff w:val="tab"/>
      <w:lvlText w:val="%1."/>
      <w:rPr>
        <w:color w:val="3370ff"/>
      </w:rPr>
    </w:lvl>
  </w:abstractNum>
  <w:abstractNum w:abstractNumId="1525566">
    <w:lvl>
      <w:start w:val="3"/>
      <w:numFmt w:val="decimal"/>
      <w:suff w:val="tab"/>
      <w:lvlText w:val="%1."/>
      <w:rPr>
        <w:color w:val="3370ff"/>
      </w:rPr>
    </w:lvl>
  </w:abstractNum>
  <w:abstractNum w:abstractNumId="1525567">
    <w:lvl>
      <w:start w:val="1"/>
      <w:numFmt w:val="decimal"/>
      <w:suff w:val="tab"/>
      <w:lvlText w:val="%1."/>
      <w:rPr>
        <w:color w:val="3370ff"/>
      </w:rPr>
    </w:lvl>
  </w:abstractNum>
  <w:abstractNum w:abstractNumId="1525568">
    <w:lvl>
      <w:start w:val="2"/>
      <w:numFmt w:val="decimal"/>
      <w:suff w:val="tab"/>
      <w:lvlText w:val="%1."/>
      <w:rPr>
        <w:color w:val="3370ff"/>
      </w:rPr>
    </w:lvl>
  </w:abstractNum>
  <w:abstractNum w:abstractNumId="1525569">
    <w:lvl>
      <w:start w:val="3"/>
      <w:numFmt w:val="decimal"/>
      <w:suff w:val="tab"/>
      <w:lvlText w:val="%1."/>
      <w:rPr>
        <w:color w:val="3370ff"/>
      </w:rPr>
    </w:lvl>
  </w:abstractNum>
  <w:abstractNum w:abstractNumId="1525570">
    <w:lvl>
      <w:start w:val="1"/>
      <w:numFmt w:val="decimal"/>
      <w:suff w:val="tab"/>
      <w:lvlText w:val="%1."/>
      <w:rPr>
        <w:color w:val="3370ff"/>
      </w:rPr>
    </w:lvl>
  </w:abstractNum>
  <w:abstractNum w:abstractNumId="1525571">
    <w:lvl>
      <w:start w:val="2"/>
      <w:numFmt w:val="decimal"/>
      <w:suff w:val="tab"/>
      <w:lvlText w:val="%1."/>
      <w:rPr>
        <w:color w:val="3370ff"/>
      </w:rPr>
    </w:lvl>
  </w:abstractNum>
  <w:abstractNum w:abstractNumId="1525572">
    <w:lvl>
      <w:start w:val="3"/>
      <w:numFmt w:val="decimal"/>
      <w:suff w:val="tab"/>
      <w:lvlText w:val="%1."/>
      <w:rPr>
        <w:color w:val="3370ff"/>
      </w:rPr>
    </w:lvl>
  </w:abstractNum>
  <w:abstractNum w:abstractNumId="1525573">
    <w:lvl>
      <w:start w:val="1"/>
      <w:numFmt w:val="decimal"/>
      <w:suff w:val="tab"/>
      <w:lvlText w:val="%1."/>
      <w:rPr>
        <w:color w:val="3370ff"/>
      </w:rPr>
    </w:lvl>
  </w:abstractNum>
  <w:abstractNum w:abstractNumId="1525574">
    <w:lvl>
      <w:start w:val="2"/>
      <w:numFmt w:val="decimal"/>
      <w:suff w:val="tab"/>
      <w:lvlText w:val="%1."/>
      <w:rPr>
        <w:color w:val="3370ff"/>
      </w:rPr>
    </w:lvl>
  </w:abstractNum>
  <w:abstractNum w:abstractNumId="1525575">
    <w:lvl>
      <w:start w:val="3"/>
      <w:numFmt w:val="decimal"/>
      <w:suff w:val="tab"/>
      <w:lvlText w:val="%1."/>
      <w:rPr>
        <w:color w:val="3370ff"/>
      </w:rPr>
    </w:lvl>
  </w:abstractNum>
  <w:abstractNum w:abstractNumId="1525576">
    <w:lvl>
      <w:start w:val="1"/>
      <w:numFmt w:val="decimal"/>
      <w:suff w:val="tab"/>
      <w:lvlText w:val="%1."/>
      <w:rPr>
        <w:color w:val="3370ff"/>
      </w:rPr>
    </w:lvl>
  </w:abstractNum>
  <w:abstractNum w:abstractNumId="1525577">
    <w:lvl>
      <w:start w:val="2"/>
      <w:numFmt w:val="decimal"/>
      <w:suff w:val="tab"/>
      <w:lvlText w:val="%1."/>
      <w:rPr>
        <w:color w:val="3370ff"/>
      </w:rPr>
    </w:lvl>
  </w:abstractNum>
  <w:abstractNum w:abstractNumId="1525578">
    <w:lvl>
      <w:start w:val="3"/>
      <w:numFmt w:val="decimal"/>
      <w:suff w:val="tab"/>
      <w:lvlText w:val="%1."/>
      <w:rPr>
        <w:color w:val="3370ff"/>
      </w:rPr>
    </w:lvl>
  </w:abstractNum>
  <w:abstractNum w:abstractNumId="1525579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525547"/>
  </w:num>
  <w:num w:numId="2">
    <w:abstractNumId w:val="1525548"/>
  </w:num>
  <w:num w:numId="3">
    <w:abstractNumId w:val="1525549"/>
  </w:num>
  <w:num w:numId="4">
    <w:abstractNumId w:val="1525550"/>
  </w:num>
  <w:num w:numId="5">
    <w:abstractNumId w:val="1525551"/>
  </w:num>
  <w:num w:numId="6">
    <w:abstractNumId w:val="1525552"/>
  </w:num>
  <w:num w:numId="7">
    <w:abstractNumId w:val="1525553"/>
  </w:num>
  <w:num w:numId="8">
    <w:abstractNumId w:val="1525554"/>
  </w:num>
  <w:num w:numId="9">
    <w:abstractNumId w:val="1525555"/>
  </w:num>
  <w:num w:numId="10">
    <w:abstractNumId w:val="1525556"/>
  </w:num>
  <w:num w:numId="11">
    <w:abstractNumId w:val="1525557"/>
  </w:num>
  <w:num w:numId="12">
    <w:abstractNumId w:val="1525558"/>
  </w:num>
  <w:num w:numId="13">
    <w:abstractNumId w:val="1525559"/>
  </w:num>
  <w:num w:numId="14">
    <w:abstractNumId w:val="1525560"/>
  </w:num>
  <w:num w:numId="15">
    <w:abstractNumId w:val="1525561"/>
  </w:num>
  <w:num w:numId="16">
    <w:abstractNumId w:val="1525562"/>
  </w:num>
  <w:num w:numId="17">
    <w:abstractNumId w:val="1525563"/>
  </w:num>
  <w:num w:numId="18">
    <w:abstractNumId w:val="1525564"/>
  </w:num>
  <w:num w:numId="19">
    <w:abstractNumId w:val="1525565"/>
  </w:num>
  <w:num w:numId="20">
    <w:abstractNumId w:val="1525566"/>
  </w:num>
  <w:num w:numId="21">
    <w:abstractNumId w:val="1525567"/>
  </w:num>
  <w:num w:numId="22">
    <w:abstractNumId w:val="1525568"/>
  </w:num>
  <w:num w:numId="23">
    <w:abstractNumId w:val="1525569"/>
  </w:num>
  <w:num w:numId="24">
    <w:abstractNumId w:val="1525570"/>
  </w:num>
  <w:num w:numId="25">
    <w:abstractNumId w:val="1525571"/>
  </w:num>
  <w:num w:numId="26">
    <w:abstractNumId w:val="1525572"/>
  </w:num>
  <w:num w:numId="27">
    <w:abstractNumId w:val="1525573"/>
  </w:num>
  <w:num w:numId="28">
    <w:abstractNumId w:val="1525574"/>
  </w:num>
  <w:num w:numId="29">
    <w:abstractNumId w:val="1525575"/>
  </w:num>
  <w:num w:numId="30">
    <w:abstractNumId w:val="1525576"/>
  </w:num>
  <w:num w:numId="31">
    <w:abstractNumId w:val="1525577"/>
  </w:num>
  <w:num w:numId="32">
    <w:abstractNumId w:val="1525578"/>
  </w:num>
  <w:num w:numId="33">
    <w:abstractNumId w:val="1525579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2026-07-16T06:49:27Z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{"Label":"1","ContentProducer":"001191110102MACQD9K64010000","ProduceID":"7663014347761323267","ReservedCode1":"","ContentPropagator":"","PropagateID":"","ReservedCode2":""}</vt:lpwstr>
  </property>
</Properties>
</file>