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以太算力集团（Aether Compute Group）完整商业模式总结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一、整体顶层定位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全球化</w:t>
      </w:r>
      <w:r>
        <w:rPr>
          <w:rFonts w:eastAsia="等线" w:ascii="Arial" w:cs="Arial" w:hAnsi="Arial"/>
          <w:b w:val="true"/>
          <w:sz w:val="22"/>
        </w:rPr>
        <w:t>双层分层绿色算力基础设施运营商</w:t>
      </w:r>
      <w:r>
        <w:rPr>
          <w:rFonts w:eastAsia="等线" w:ascii="Arial" w:cs="Arial" w:hAnsi="Arial"/>
          <w:sz w:val="22"/>
        </w:rPr>
        <w:t>，采用「国内重资产自建核心智算 IDC + 全球轻资产分布式边缘算力」双轮驱动模式，自研全域 AI 算力调度、液冷低碳节能技术，面向全球 AI 企业、车企、影视、政企、跨国酒店提供合规分层算力，配套完整产业投融资与 REITs 资产证券化资本闭环，同时兼顾 To B 算力采购、To B 酒店加盟、全球产业投资三大业务赛道。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二、两大核心业务板块（供给侧资产体系）</w:t>
      </w:r>
      <w:bookmarkEnd w:id="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板块 1：国内中心化重资产智算 IDC（核心稳定现金流底座）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资产布局</w:t>
      </w:r>
      <w:r>
        <w:rPr>
          <w:rFonts w:eastAsia="等线" w:ascii="Arial" w:cs="Arial" w:hAnsi="Arial"/>
          <w:sz w:val="22"/>
        </w:rPr>
        <w:br/>
      </w:r>
      <w:r>
        <w:rPr>
          <w:rFonts w:eastAsia="等线" w:ascii="Arial" w:cs="Arial" w:hAnsi="Arial"/>
          <w:sz w:val="22"/>
        </w:rPr>
        <w:t>京津冀、粤港澳七大 T4 级液冷智算园区，总 IT 容量 470MW，总备案投资约 142.8 亿元；北京集群主打低延迟实时推理算力，广东依托低成本绿电承接大模型离线训练、海量存储。全园区自研浸没液冷，PUE≤1.15，满足国内能耗管控与绿色算力补贴政策。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资产投入模式</w:t>
      </w:r>
      <w:r>
        <w:rPr>
          <w:rFonts w:eastAsia="等线" w:ascii="Arial" w:cs="Arial" w:hAnsi="Arial"/>
          <w:sz w:val="22"/>
        </w:rPr>
        <w:br/>
      </w:r>
      <w:r>
        <w:rPr>
          <w:rFonts w:eastAsia="等线" w:ascii="Arial" w:cs="Arial" w:hAnsi="Arial"/>
          <w:sz w:val="22"/>
        </w:rPr>
        <w:t>四层资金组合：30% 集团自有资金、45% 银行项目抵押贷、15% 地方算力专项债、10% 战略引资 / REITs 储备；2026–2029 分阶段建设投产。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核心收入来源</w:t>
      </w:r>
      <w:r>
        <w:rPr>
          <w:rFonts w:eastAsia="等线" w:ascii="Arial" w:cs="Arial" w:hAnsi="Arial"/>
          <w:sz w:val="22"/>
        </w:rPr>
        <w:br/>
        <w:t>① 机柜 / 算力长租（核心，占 75%）：面向头部云厂商、AI 大厂签订 3–5 年长单，北京 8000–12000 元 / 柜 / 月，广东 5000–8000 元 / 柜 / 月；</w:t>
        <w:br/>
        <w:t>② 绿色算力溢价、碳资产、绿证交易（高毛利增值 12%）；</w:t>
        <w:br/>
        <w:t>③ 全域调度平台服务费、定制化行业算力解决方案（8%）；</w:t>
        <w:br/>
      </w:r>
      <w:r>
        <w:rPr>
          <w:rFonts w:eastAsia="等线" w:ascii="Arial" w:cs="Arial" w:hAnsi="Arial"/>
          <w:sz w:val="22"/>
        </w:rPr>
        <w:t>④ 地方新基建、液冷设备专项补贴（5%）。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客户群体</w:t>
      </w:r>
      <w:r>
        <w:rPr>
          <w:rFonts w:eastAsia="等线" w:ascii="Arial" w:cs="Arial" w:hAnsi="Arial"/>
          <w:sz w:val="22"/>
        </w:rPr>
        <w:br/>
      </w:r>
      <w:r>
        <w:rPr>
          <w:rFonts w:eastAsia="等线" w:ascii="Arial" w:cs="Arial" w:hAnsi="Arial"/>
          <w:sz w:val="22"/>
        </w:rPr>
        <w:t>国内大模型公司、自动驾驶车企、生物医药企业、政企智慧城市、头部云厂商。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板块 2：Aether Edge 全球分布式酒店边缘算力（轻资产增量第二增长曲线）</w:t>
      </w:r>
      <w:bookmarkEnd w:id="3"/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资产逻辑（零重资产扩张）</w:t>
      </w:r>
      <w:r>
        <w:rPr>
          <w:rFonts w:eastAsia="等线" w:ascii="Arial" w:cs="Arial" w:hAnsi="Arial"/>
          <w:sz w:val="22"/>
        </w:rPr>
        <w:br/>
      </w:r>
      <w:r>
        <w:rPr>
          <w:rFonts w:eastAsia="等线" w:ascii="Arial" w:cs="Arial" w:hAnsi="Arial"/>
          <w:sz w:val="22"/>
        </w:rPr>
        <w:t>不新建机房，复用全球连锁 / 电竞酒店闲置机房服务器、客房 GPU 终端，仅输出软件调度系统、微型液冷改造设备；利用夜间谷电分时调度闲置算力，客房入住时自动回收算力，不影响酒店正常经营。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两类标准化算力节点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酒店机房节点：夜间承接 AI 微调、批量渲染；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客房 GPU 边缘节点：轻量 AI 绘图、云电竞、本地低延迟推理。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三方分润合作模式</w:t>
      </w:r>
      <w:r>
        <w:rPr>
          <w:rFonts w:eastAsia="等线" w:ascii="Arial" w:cs="Arial" w:hAnsi="Arial"/>
          <w:sz w:val="22"/>
        </w:rPr>
        <w:br/>
        <w:t>模式 A（主流轻资产）：集团承担全部改造成本，扣除增量电费后净收益五五分成（集团 50%、酒店 50%）；云电竞房溢价收益酒店自留，仅收取 5% 技术服务费。</w:t>
        <w:br/>
      </w:r>
      <w:r>
        <w:rPr>
          <w:rFonts w:eastAsia="等线" w:ascii="Arial" w:cs="Arial" w:hAnsi="Arial"/>
          <w:sz w:val="22"/>
        </w:rPr>
        <w:t>模式 B（大型连锁深度合作）：酒店自持硬件，平台输出渠道与调度系统，净收益酒店 70%、集团 30%。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收入来源</w:t>
      </w:r>
      <w:r>
        <w:rPr>
          <w:rFonts w:eastAsia="等线" w:ascii="Arial" w:cs="Arial" w:hAnsi="Arial"/>
          <w:sz w:val="22"/>
        </w:rPr>
        <w:br/>
        <w:t>① 分时 GPU 算力租赁（面向全球小微 AI 团队、渲染工作室）；</w:t>
        <w:br/>
        <w:t>② 跨国酒店云电竞配套技术服务费；</w:t>
        <w:br/>
        <w:t>③ 本地政企边缘推理订单分成；</w:t>
        <w:br/>
      </w:r>
      <w:r>
        <w:rPr>
          <w:rFonts w:eastAsia="等线" w:ascii="Arial" w:cs="Arial" w:hAnsi="Arial"/>
          <w:sz w:val="22"/>
        </w:rPr>
        <w:t>④ 全球分时绿色能耗补贴。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双向价值</w:t>
      </w:r>
      <w:r>
        <w:rPr>
          <w:rFonts w:eastAsia="等线" w:ascii="Arial" w:cs="Arial" w:hAnsi="Arial"/>
          <w:sz w:val="22"/>
        </w:rPr>
        <w:br/>
        <w:t>对集团：低成本快速扩充全球弹性算力，平抑高峰算力缺口，降低整体平均用电成本；</w:t>
        <w:br/>
      </w:r>
      <w:r>
        <w:rPr>
          <w:rFonts w:eastAsia="等线" w:ascii="Arial" w:cs="Arial" w:hAnsi="Arial"/>
          <w:sz w:val="22"/>
        </w:rPr>
        <w:t>对酒店：闲置硬件、夜间电力变现，新增稳定副业收入，电竞房提升客房溢价。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三、全球化延伸业务：海外合规算力节点</w:t>
      </w:r>
      <w:bookmarkEnd w:id="4"/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布局东南亚、欧洲自建 / 合作 IDC，适配 GDPR、PCI-DSS、本地数据主权法规；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搭建跨境低延迟专线，打通国内核心算力与海外分布式节点统一调度；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面向海外 AI 初创、跨国车企、国际影视公司提供跨境合规算力租赁；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输出自研液冷节能技术、全域调度系统给海外数据中心合作方，收取技术授权服务费。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四、底层技术变现支撑（技术壁垒 + 增值收入）</w:t>
      </w:r>
      <w:bookmarkEnd w:id="5"/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自研全域 AI 算力调度平台</w:t>
      </w:r>
      <w:r>
        <w:rPr>
          <w:rFonts w:eastAsia="等线" w:ascii="Arial" w:cs="Arial" w:hAnsi="Arial"/>
          <w:sz w:val="22"/>
        </w:rPr>
        <w:br/>
      </w:r>
      <w:r>
        <w:rPr>
          <w:rFonts w:eastAsia="等线" w:ascii="Arial" w:cs="Arial" w:hAnsi="Arial"/>
          <w:sz w:val="22"/>
        </w:rPr>
        <w:t>统一纳管国内 IDC、全球酒店边缘、海外节点，自动按延迟、电价、算力需求智能分配任务，收取平台服务费；同时预测峰谷电价、酒店入住时序，最大化闲置算力利用率。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绿色液冷低碳技术输出</w:t>
      </w:r>
      <w:r>
        <w:rPr>
          <w:rFonts w:eastAsia="等线" w:ascii="Arial" w:cs="Arial" w:hAnsi="Arial"/>
          <w:sz w:val="22"/>
        </w:rPr>
        <w:br/>
      </w:r>
      <w:r>
        <w:rPr>
          <w:rFonts w:eastAsia="等线" w:ascii="Arial" w:cs="Arial" w:hAnsi="Arial"/>
          <w:sz w:val="22"/>
        </w:rPr>
        <w:t>对内降低自有 IDC 电费成本、获取绿色补贴；对外向第三方数据中心、海外节点提供液冷全套方案、专利授权、节能改造工程收入。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全球多层合规体系</w:t>
      </w:r>
      <w:r>
        <w:rPr>
          <w:rFonts w:eastAsia="等线" w:ascii="Arial" w:cs="Arial" w:hAnsi="Arial"/>
          <w:sz w:val="22"/>
        </w:rPr>
        <w:br/>
      </w:r>
      <w:r>
        <w:rPr>
          <w:rFonts w:eastAsia="等线" w:ascii="Arial" w:cs="Arial" w:hAnsi="Arial"/>
          <w:sz w:val="22"/>
        </w:rPr>
        <w:t>覆盖中国 PIPL、欧盟 GDPR、北美 PCI-DSS、东南亚数据法案，合规资质打包作为配套增值服务，满足跨境企业数据审计需求。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五、完整资本闭环商业模式（重资产可持续扩张核心）</w:t>
      </w:r>
      <w:bookmarkEnd w:id="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1. 建设期多元融资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自有资金打底，搭配固定资产项目贷、算力专项债、海内外产业战略投资，分批次投放建设，平滑现金流压力。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2. 运营期稳定经营性现金流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IDC 投产后逐年提升机柜上架率，第 3 年稳定≥70% 上架率，形成持续 NOI 净运营现金流。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3. 成熟期资产证券化退出与滚动扩张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国内成熟智算园区、规模化全球酒店算力资产分批打包发行基础设施公募 REITs；原始投资人通过 REIT 股权溢价 + 年度分红实现退出，REIT 募集资金用于新建海内外算力节点，形成「建设→运营→证券化→再投资」永续扩张循环。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4. 其他资本通道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海外 IDC 产业并购、全球算力资产股权转让、面向主权基金 / 跨境投行开放产业合作投资。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六、客户分层销售体系（全球双向市场）</w:t>
      </w:r>
      <w:bookmarkEnd w:id="1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1. 算力采购端（付费客户）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国内：头部云厂商、大模型企业、自动驾驶、生物医药、政企数字化平台；</w:t>
        <w:br/>
      </w:r>
      <w:r>
        <w:rPr>
          <w:rFonts w:eastAsia="等线" w:ascii="Arial" w:cs="Arial" w:hAnsi="Arial"/>
          <w:sz w:val="22"/>
        </w:rPr>
        <w:t>全球：海外 AI 初创、国际影视渲染工作室、跨国车企、出海企业、跨境数字服务商。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2. 算力供给端（合作分成方）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国内连锁酒店、电竞酒店；全球五星跨国酒店集团；海外中小型数据中心共建伙伴。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3. 资本合作方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国内产业基金、政策性银行、海外主权基金、跨境投行、REITs 券商机构。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七、核心成本管控逻辑</w:t>
      </w:r>
      <w:bookmarkEnd w:id="15"/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中心 IDC：液冷技术压低电费（运营最大成本项），长协锁绿电低价；模块化机房降低改造成本；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酒店分布式算力：轻资产模式无土地、土建大额投入，仅软件与微型散热硬件支出；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全域调度 AI 算法错峰用电，赚取峰谷电价差，同步申请电网需求响应补贴对冲运营成本。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八、商业模式核心差异化优势</w:t>
      </w:r>
      <w:bookmarkEnd w:id="16"/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双算力协同独有模式</w:t>
      </w:r>
      <w:r>
        <w:rPr>
          <w:rFonts w:eastAsia="等线" w:ascii="Arial" w:cs="Arial" w:hAnsi="Arial"/>
          <w:sz w:val="22"/>
        </w:rPr>
        <w:t>：行业少数同时拥有国家级重资产智算集群 + 全球轻资产酒店边缘分布式算力，中心承接长周期大额订单，边缘承接碎片化弹性需求，负载互补；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轻重资产搭配平衡</w:t>
      </w:r>
      <w:r>
        <w:rPr>
          <w:rFonts w:eastAsia="等线" w:ascii="Arial" w:cs="Arial" w:hAnsi="Arial"/>
          <w:sz w:val="22"/>
        </w:rPr>
        <w:t>：IDC 提供长期稳定现金流，酒店算力无大额资本开支、扩张速度快；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全球化合规 + 跨境调度能力</w:t>
      </w:r>
      <w:r>
        <w:rPr>
          <w:rFonts w:eastAsia="等线" w:ascii="Arial" w:cs="Arial" w:hAnsi="Arial"/>
          <w:sz w:val="22"/>
        </w:rPr>
        <w:t>，覆盖多国家数据法规，适配跨国企业算力需求；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技术多重变现</w:t>
      </w:r>
      <w:r>
        <w:rPr>
          <w:rFonts w:eastAsia="等线" w:ascii="Arial" w:cs="Arial" w:hAnsi="Arial"/>
          <w:sz w:val="22"/>
        </w:rPr>
        <w:t>：算力租赁 + 调度平台服务费 + 液冷技术授权 + 碳资产多元增收；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标准化 REITs 资本闭环</w:t>
      </w:r>
      <w:r>
        <w:rPr>
          <w:rFonts w:eastAsia="等线" w:ascii="Arial" w:cs="Arial" w:hAnsi="Arial"/>
          <w:sz w:val="22"/>
        </w:rPr>
        <w:t>，解决重资产行业资金回笼慢、扩张受限痛点。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九、全周期发展节奏</w:t>
      </w:r>
      <w:bookmarkEnd w:id="17"/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短期（2026–2029）：完成国内 470MW 七大 IDC 建设落地，同步试点、规模化拓展海内外酒店算力节点；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中期（2030–2033）：园区成熟后分批发行 REITs，拓展东南亚、欧洲海外算力基地；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长期（2034+）：建成覆盖全球的分层绿色算力网络，依托资产证券化持续复制算力资产，成为全球头部一体化算力基础设施集团。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544709">
    <w:lvl>
      <w:start w:val="1"/>
      <w:numFmt w:val="decimal"/>
      <w:suff w:val="tab"/>
      <w:lvlText w:val="%1."/>
      <w:rPr>
        <w:color w:val="3370ff"/>
      </w:rPr>
    </w:lvl>
  </w:abstractNum>
  <w:abstractNum w:abstractNumId="1544710">
    <w:lvl>
      <w:start w:val="2"/>
      <w:numFmt w:val="decimal"/>
      <w:suff w:val="tab"/>
      <w:lvlText w:val="%1."/>
      <w:rPr>
        <w:color w:val="3370ff"/>
      </w:rPr>
    </w:lvl>
  </w:abstractNum>
  <w:abstractNum w:abstractNumId="1544711">
    <w:lvl>
      <w:start w:val="3"/>
      <w:numFmt w:val="decimal"/>
      <w:suff w:val="tab"/>
      <w:lvlText w:val="%1."/>
      <w:rPr>
        <w:color w:val="3370ff"/>
      </w:rPr>
    </w:lvl>
  </w:abstractNum>
  <w:abstractNum w:abstractNumId="1544712">
    <w:lvl>
      <w:start w:val="4"/>
      <w:numFmt w:val="decimal"/>
      <w:suff w:val="tab"/>
      <w:lvlText w:val="%1."/>
      <w:rPr>
        <w:color w:val="3370ff"/>
      </w:rPr>
    </w:lvl>
  </w:abstractNum>
  <w:abstractNum w:abstractNumId="1544713">
    <w:lvl>
      <w:start w:val="1"/>
      <w:numFmt w:val="decimal"/>
      <w:suff w:val="tab"/>
      <w:lvlText w:val="%1."/>
      <w:rPr>
        <w:color w:val="3370ff"/>
      </w:rPr>
    </w:lvl>
  </w:abstractNum>
  <w:abstractNum w:abstractNumId="1544714">
    <w:lvl>
      <w:start w:val="2"/>
      <w:numFmt w:val="decimal"/>
      <w:suff w:val="tab"/>
      <w:lvlText w:val="%1."/>
      <w:rPr>
        <w:color w:val="3370ff"/>
      </w:rPr>
    </w:lvl>
  </w:abstractNum>
  <w:abstractNum w:abstractNumId="1544715">
    <w:lvl>
      <w:numFmt w:val="bullet"/>
      <w:suff w:val="tab"/>
      <w:lvlText w:val="•"/>
      <w:rPr>
        <w:color w:val="3370ff"/>
      </w:rPr>
    </w:lvl>
  </w:abstractNum>
  <w:abstractNum w:abstractNumId="1544716">
    <w:lvl>
      <w:numFmt w:val="bullet"/>
      <w:suff w:val="tab"/>
      <w:lvlText w:val="•"/>
      <w:rPr>
        <w:color w:val="3370ff"/>
      </w:rPr>
    </w:lvl>
  </w:abstractNum>
  <w:abstractNum w:abstractNumId="1544717">
    <w:lvl>
      <w:start w:val="3"/>
      <w:numFmt w:val="decimal"/>
      <w:suff w:val="tab"/>
      <w:lvlText w:val="%1."/>
      <w:rPr>
        <w:color w:val="3370ff"/>
      </w:rPr>
    </w:lvl>
  </w:abstractNum>
  <w:abstractNum w:abstractNumId="1544718">
    <w:lvl>
      <w:start w:val="4"/>
      <w:numFmt w:val="decimal"/>
      <w:suff w:val="tab"/>
      <w:lvlText w:val="%1."/>
      <w:rPr>
        <w:color w:val="3370ff"/>
      </w:rPr>
    </w:lvl>
  </w:abstractNum>
  <w:abstractNum w:abstractNumId="1544719">
    <w:lvl>
      <w:start w:val="5"/>
      <w:numFmt w:val="decimal"/>
      <w:suff w:val="tab"/>
      <w:lvlText w:val="%1."/>
      <w:rPr>
        <w:color w:val="3370ff"/>
      </w:rPr>
    </w:lvl>
  </w:abstractNum>
  <w:abstractNum w:abstractNumId="1544720">
    <w:lvl>
      <w:start w:val="1"/>
      <w:numFmt w:val="decimal"/>
      <w:suff w:val="tab"/>
      <w:lvlText w:val="%1."/>
      <w:rPr>
        <w:color w:val="3370ff"/>
      </w:rPr>
    </w:lvl>
  </w:abstractNum>
  <w:abstractNum w:abstractNumId="1544721">
    <w:lvl>
      <w:start w:val="2"/>
      <w:numFmt w:val="decimal"/>
      <w:suff w:val="tab"/>
      <w:lvlText w:val="%1."/>
      <w:rPr>
        <w:color w:val="3370ff"/>
      </w:rPr>
    </w:lvl>
  </w:abstractNum>
  <w:abstractNum w:abstractNumId="1544722">
    <w:lvl>
      <w:start w:val="3"/>
      <w:numFmt w:val="decimal"/>
      <w:suff w:val="tab"/>
      <w:lvlText w:val="%1."/>
      <w:rPr>
        <w:color w:val="3370ff"/>
      </w:rPr>
    </w:lvl>
  </w:abstractNum>
  <w:abstractNum w:abstractNumId="1544723">
    <w:lvl>
      <w:start w:val="4"/>
      <w:numFmt w:val="decimal"/>
      <w:suff w:val="tab"/>
      <w:lvlText w:val="%1."/>
      <w:rPr>
        <w:color w:val="3370ff"/>
      </w:rPr>
    </w:lvl>
  </w:abstractNum>
  <w:abstractNum w:abstractNumId="1544724">
    <w:lvl>
      <w:start w:val="1"/>
      <w:numFmt w:val="decimal"/>
      <w:suff w:val="tab"/>
      <w:lvlText w:val="%1."/>
      <w:rPr>
        <w:color w:val="3370ff"/>
      </w:rPr>
    </w:lvl>
  </w:abstractNum>
  <w:abstractNum w:abstractNumId="1544725">
    <w:lvl>
      <w:start w:val="2"/>
      <w:numFmt w:val="decimal"/>
      <w:suff w:val="tab"/>
      <w:lvlText w:val="%1."/>
      <w:rPr>
        <w:color w:val="3370ff"/>
      </w:rPr>
    </w:lvl>
  </w:abstractNum>
  <w:abstractNum w:abstractNumId="1544726">
    <w:lvl>
      <w:start w:val="3"/>
      <w:numFmt w:val="decimal"/>
      <w:suff w:val="tab"/>
      <w:lvlText w:val="%1."/>
      <w:rPr>
        <w:color w:val="3370ff"/>
      </w:rPr>
    </w:lvl>
  </w:abstractNum>
  <w:abstractNum w:abstractNumId="1544727">
    <w:lvl>
      <w:start w:val="1"/>
      <w:numFmt w:val="decimal"/>
      <w:suff w:val="tab"/>
      <w:lvlText w:val="%1."/>
      <w:rPr>
        <w:color w:val="3370ff"/>
      </w:rPr>
    </w:lvl>
  </w:abstractNum>
  <w:abstractNum w:abstractNumId="1544728">
    <w:lvl>
      <w:start w:val="2"/>
      <w:numFmt w:val="decimal"/>
      <w:suff w:val="tab"/>
      <w:lvlText w:val="%1."/>
      <w:rPr>
        <w:color w:val="3370ff"/>
      </w:rPr>
    </w:lvl>
  </w:abstractNum>
  <w:abstractNum w:abstractNumId="1544729">
    <w:lvl>
      <w:start w:val="3"/>
      <w:numFmt w:val="decimal"/>
      <w:suff w:val="tab"/>
      <w:lvlText w:val="%1."/>
      <w:rPr>
        <w:color w:val="3370ff"/>
      </w:rPr>
    </w:lvl>
  </w:abstractNum>
  <w:abstractNum w:abstractNumId="1544730">
    <w:lvl>
      <w:start w:val="1"/>
      <w:numFmt w:val="decimal"/>
      <w:suff w:val="tab"/>
      <w:lvlText w:val="%1."/>
      <w:rPr>
        <w:color w:val="3370ff"/>
      </w:rPr>
    </w:lvl>
  </w:abstractNum>
  <w:abstractNum w:abstractNumId="1544731">
    <w:lvl>
      <w:start w:val="2"/>
      <w:numFmt w:val="decimal"/>
      <w:suff w:val="tab"/>
      <w:lvlText w:val="%1."/>
      <w:rPr>
        <w:color w:val="3370ff"/>
      </w:rPr>
    </w:lvl>
  </w:abstractNum>
  <w:abstractNum w:abstractNumId="1544732">
    <w:lvl>
      <w:start w:val="3"/>
      <w:numFmt w:val="decimal"/>
      <w:suff w:val="tab"/>
      <w:lvlText w:val="%1."/>
      <w:rPr>
        <w:color w:val="3370ff"/>
      </w:rPr>
    </w:lvl>
  </w:abstractNum>
  <w:abstractNum w:abstractNumId="1544733">
    <w:lvl>
      <w:start w:val="4"/>
      <w:numFmt w:val="decimal"/>
      <w:suff w:val="tab"/>
      <w:lvlText w:val="%1."/>
      <w:rPr>
        <w:color w:val="3370ff"/>
      </w:rPr>
    </w:lvl>
  </w:abstractNum>
  <w:abstractNum w:abstractNumId="1544734">
    <w:lvl>
      <w:start w:val="5"/>
      <w:numFmt w:val="decimal"/>
      <w:suff w:val="tab"/>
      <w:lvlText w:val="%1."/>
      <w:rPr>
        <w:color w:val="3370ff"/>
      </w:rPr>
    </w:lvl>
  </w:abstractNum>
  <w:abstractNum w:abstractNumId="1544735">
    <w:lvl>
      <w:start w:val="1"/>
      <w:numFmt w:val="decimal"/>
      <w:suff w:val="tab"/>
      <w:lvlText w:val="%1."/>
      <w:rPr>
        <w:color w:val="3370ff"/>
      </w:rPr>
    </w:lvl>
  </w:abstractNum>
  <w:abstractNum w:abstractNumId="1544736">
    <w:lvl>
      <w:start w:val="2"/>
      <w:numFmt w:val="decimal"/>
      <w:suff w:val="tab"/>
      <w:lvlText w:val="%1."/>
      <w:rPr>
        <w:color w:val="3370ff"/>
      </w:rPr>
    </w:lvl>
  </w:abstractNum>
  <w:abstractNum w:abstractNumId="1544737">
    <w:lvl>
      <w:start w:val="3"/>
      <w:numFmt w:val="decimal"/>
      <w:suff w:val="tab"/>
      <w:lvlText w:val="%1."/>
      <w:rPr>
        <w:color w:val="3370ff"/>
      </w:rPr>
    </w:lvl>
  </w:abstractNum>
  <w:num w:numId="1">
    <w:abstractNumId w:val="1544709"/>
  </w:num>
  <w:num w:numId="2">
    <w:abstractNumId w:val="1544710"/>
  </w:num>
  <w:num w:numId="3">
    <w:abstractNumId w:val="1544711"/>
  </w:num>
  <w:num w:numId="4">
    <w:abstractNumId w:val="1544712"/>
  </w:num>
  <w:num w:numId="5">
    <w:abstractNumId w:val="1544713"/>
  </w:num>
  <w:num w:numId="6">
    <w:abstractNumId w:val="1544714"/>
  </w:num>
  <w:num w:numId="7">
    <w:abstractNumId w:val="1544715"/>
  </w:num>
  <w:num w:numId="8">
    <w:abstractNumId w:val="1544716"/>
  </w:num>
  <w:num w:numId="9">
    <w:abstractNumId w:val="1544717"/>
  </w:num>
  <w:num w:numId="10">
    <w:abstractNumId w:val="1544718"/>
  </w:num>
  <w:num w:numId="11">
    <w:abstractNumId w:val="1544719"/>
  </w:num>
  <w:num w:numId="12">
    <w:abstractNumId w:val="1544720"/>
  </w:num>
  <w:num w:numId="13">
    <w:abstractNumId w:val="1544721"/>
  </w:num>
  <w:num w:numId="14">
    <w:abstractNumId w:val="1544722"/>
  </w:num>
  <w:num w:numId="15">
    <w:abstractNumId w:val="1544723"/>
  </w:num>
  <w:num w:numId="16">
    <w:abstractNumId w:val="1544724"/>
  </w:num>
  <w:num w:numId="17">
    <w:abstractNumId w:val="1544725"/>
  </w:num>
  <w:num w:numId="18">
    <w:abstractNumId w:val="1544726"/>
  </w:num>
  <w:num w:numId="19">
    <w:abstractNumId w:val="1544727"/>
  </w:num>
  <w:num w:numId="20">
    <w:abstractNumId w:val="1544728"/>
  </w:num>
  <w:num w:numId="21">
    <w:abstractNumId w:val="1544729"/>
  </w:num>
  <w:num w:numId="22">
    <w:abstractNumId w:val="1544730"/>
  </w:num>
  <w:num w:numId="23">
    <w:abstractNumId w:val="1544731"/>
  </w:num>
  <w:num w:numId="24">
    <w:abstractNumId w:val="1544732"/>
  </w:num>
  <w:num w:numId="25">
    <w:abstractNumId w:val="1544733"/>
  </w:num>
  <w:num w:numId="26">
    <w:abstractNumId w:val="1544734"/>
  </w:num>
  <w:num w:numId="27">
    <w:abstractNumId w:val="1544735"/>
  </w:num>
  <w:num w:numId="28">
    <w:abstractNumId w:val="1544736"/>
  </w:num>
  <w:num w:numId="29">
    <w:abstractNumId w:val="1544737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2026-07-16T06:43:09Z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{"Label":"1","ContentProducer":"001191110102MACQD9K64010000","ProduceID":"7663012731235044638","ReservedCode1":"","ContentPropagator":"","PropagateID":"","ReservedCode2":""}</vt:lpwstr>
  </property>
</Properties>
</file>